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F6AD" w14:textId="6FF91C6C" w:rsidR="00287E6F" w:rsidRPr="00D2391E" w:rsidRDefault="00287E6F" w:rsidP="004D7048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color w:val="FF0000"/>
          <w:sz w:val="24"/>
          <w:szCs w:val="20"/>
          <w:lang w:eastAsia="fi-FI"/>
        </w:rPr>
      </w:pPr>
    </w:p>
    <w:p w14:paraId="172716E7" w14:textId="77777777" w:rsidR="004D7048" w:rsidRPr="00D2391E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r w:rsidRPr="00D2391E">
        <w:rPr>
          <w:rFonts w:ascii="Arial" w:eastAsia="Times New Roman" w:hAnsi="Arial" w:cs="Arial"/>
          <w:sz w:val="18"/>
          <w:szCs w:val="18"/>
          <w:lang w:val="sv-FI" w:bidi="sv-FI"/>
        </w:rPr>
        <w:t>Säkerhets- och kemikalieverket</w:t>
      </w:r>
    </w:p>
    <w:p w14:paraId="51A65D68" w14:textId="77777777" w:rsidR="004D7048" w:rsidRPr="00D2391E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r w:rsidRPr="00D2391E">
        <w:rPr>
          <w:rFonts w:ascii="Arial" w:eastAsia="Times New Roman" w:hAnsi="Arial" w:cs="Arial"/>
          <w:sz w:val="18"/>
          <w:szCs w:val="18"/>
          <w:lang w:val="sv-FI" w:bidi="sv-FI"/>
        </w:rPr>
        <w:t>PB 66</w:t>
      </w:r>
    </w:p>
    <w:p w14:paraId="765A2F2D" w14:textId="2733D9B7" w:rsidR="004D7048" w:rsidRPr="00D2391E" w:rsidRDefault="00642A7B" w:rsidP="00287E6F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r w:rsidRPr="00D2391E">
        <w:rPr>
          <w:rFonts w:ascii="Arial" w:eastAsia="Times New Roman" w:hAnsi="Arial" w:cs="Arial"/>
          <w:noProof/>
          <w:sz w:val="18"/>
          <w:szCs w:val="18"/>
          <w:lang w:val="sv-FI" w:bidi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41A93" wp14:editId="63BAFB62">
                <wp:simplePos x="0" y="0"/>
                <wp:positionH relativeFrom="column">
                  <wp:posOffset>3737610</wp:posOffset>
                </wp:positionH>
                <wp:positionV relativeFrom="paragraph">
                  <wp:posOffset>70485</wp:posOffset>
                </wp:positionV>
                <wp:extent cx="2371725" cy="247650"/>
                <wp:effectExtent l="0" t="0" r="9525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430F4" w14:textId="0688BA30" w:rsidR="00642A7B" w:rsidRPr="00AB7F27" w:rsidRDefault="00642A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41A93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294.3pt;margin-top:5.55pt;width:186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" fillcolor="white [3201]" stroked="f" strokeweight=".5pt">
                <v:textbox>
                  <w:txbxContent>
                    <w:p w14:paraId="3DD430F4" w14:textId="0688BA30" w:rsidR="00642A7B" w:rsidRPr="00AB7F27" w:rsidRDefault="00642A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048" w:rsidRPr="00D2391E">
        <w:rPr>
          <w:rFonts w:ascii="Arial" w:eastAsia="Times New Roman" w:hAnsi="Arial" w:cs="Arial"/>
          <w:sz w:val="18"/>
          <w:szCs w:val="18"/>
          <w:lang w:val="sv-FI" w:bidi="sv-FI"/>
        </w:rPr>
        <w:t>00521 Helsingfors</w:t>
      </w:r>
    </w:p>
    <w:p w14:paraId="5405AA22" w14:textId="59F9BD3E" w:rsidR="00F84E50" w:rsidRPr="00D2391E" w:rsidRDefault="002768BA" w:rsidP="00287E6F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  <w:hyperlink r:id="rId8" w:history="1">
        <w:r w:rsidR="0061102F" w:rsidRPr="00D2391E">
          <w:rPr>
            <w:rStyle w:val="Hyperlinkki"/>
            <w:rFonts w:ascii="Arial" w:eastAsia="Times New Roman" w:hAnsi="Arial" w:cs="Arial"/>
            <w:sz w:val="18"/>
            <w:szCs w:val="18"/>
            <w:lang w:val="sv-FI" w:bidi="sv-FI"/>
          </w:rPr>
          <w:t>kirjaamo@tukes.fi</w:t>
        </w:r>
      </w:hyperlink>
      <w:r w:rsidR="0061102F" w:rsidRPr="00D2391E">
        <w:rPr>
          <w:rFonts w:ascii="Arial" w:eastAsia="Times New Roman" w:hAnsi="Arial" w:cs="Arial"/>
          <w:sz w:val="18"/>
          <w:szCs w:val="18"/>
          <w:lang w:val="sv-FI" w:bidi="sv-FI"/>
        </w:rPr>
        <w:t xml:space="preserve"> </w:t>
      </w:r>
    </w:p>
    <w:p w14:paraId="5CDDC9FD" w14:textId="77777777" w:rsidR="00841FE6" w:rsidRPr="00D2391E" w:rsidRDefault="00841FE6" w:rsidP="00287E6F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Arial" w:eastAsia="Times New Roman" w:hAnsi="Arial" w:cs="Arial"/>
          <w:szCs w:val="18"/>
          <w:lang w:eastAsia="fi-FI"/>
        </w:rPr>
      </w:pPr>
    </w:p>
    <w:tbl>
      <w:tblPr>
        <w:tblW w:w="9779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"/>
        <w:gridCol w:w="1568"/>
        <w:gridCol w:w="4039"/>
        <w:gridCol w:w="3755"/>
      </w:tblGrid>
      <w:tr w:rsidR="007A7D21" w:rsidRPr="00D2391E" w14:paraId="4DAA0F5B" w14:textId="77777777" w:rsidTr="00A747EF">
        <w:trPr>
          <w:trHeight w:val="96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42E0BFA" w14:textId="44E5167E" w:rsidR="007A7D21" w:rsidRPr="00D2391E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1.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FD60F6" w14:textId="483492AE" w:rsidR="007A7D21" w:rsidRPr="00D2391E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Uppgifter om företaget</w:t>
            </w:r>
          </w:p>
        </w:tc>
        <w:tc>
          <w:tcPr>
            <w:tcW w:w="77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7D7FC1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Företagets namn och FO-nummer</w:t>
            </w:r>
          </w:p>
          <w:p w14:paraId="049AE669" w14:textId="58D7B6B5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  <w:bookmarkEnd w:id="0"/>
          </w:p>
        </w:tc>
      </w:tr>
      <w:tr w:rsidR="007A7D21" w:rsidRPr="00D2391E" w14:paraId="4CFF4DE4" w14:textId="77777777" w:rsidTr="00A747EF">
        <w:trPr>
          <w:trHeight w:val="412"/>
        </w:trPr>
        <w:tc>
          <w:tcPr>
            <w:tcW w:w="417" w:type="dxa"/>
            <w:tcBorders>
              <w:top w:val="nil"/>
              <w:left w:val="single" w:sz="12" w:space="0" w:color="auto"/>
              <w:right w:val="nil"/>
            </w:tcBorders>
          </w:tcPr>
          <w:p w14:paraId="1B7F6704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nil"/>
              <w:right w:val="nil"/>
            </w:tcBorders>
          </w:tcPr>
          <w:p w14:paraId="101BEC28" w14:textId="658E3475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F62B2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Adress</w:t>
            </w:r>
          </w:p>
          <w:p w14:paraId="0CBA07EE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" w:name="Teksti18"/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  <w:bookmarkEnd w:id="1"/>
          </w:p>
          <w:p w14:paraId="57CEF0F4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8FEA306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7A7D21" w:rsidRPr="00D2391E" w14:paraId="112A8F49" w14:textId="77777777" w:rsidTr="00A747EF">
        <w:trPr>
          <w:trHeight w:val="706"/>
        </w:trPr>
        <w:tc>
          <w:tcPr>
            <w:tcW w:w="417" w:type="dxa"/>
            <w:tcBorders>
              <w:left w:val="single" w:sz="12" w:space="0" w:color="auto"/>
              <w:bottom w:val="nil"/>
              <w:right w:val="nil"/>
            </w:tcBorders>
          </w:tcPr>
          <w:p w14:paraId="6746184B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68" w:type="dxa"/>
            <w:vMerge/>
            <w:tcBorders>
              <w:left w:val="nil"/>
              <w:bottom w:val="nil"/>
              <w:right w:val="nil"/>
            </w:tcBorders>
          </w:tcPr>
          <w:p w14:paraId="795C0E73" w14:textId="019FB742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A33DD3" w14:textId="7C48101D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Kontaktperson/Ansvarsperson för import av explosiva varor</w:t>
            </w:r>
          </w:p>
          <w:p w14:paraId="73A77ABD" w14:textId="4DB56589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</w:tr>
      <w:tr w:rsidR="007A7D21" w:rsidRPr="00D2391E" w14:paraId="2C8CE034" w14:textId="77777777" w:rsidTr="00A747EF">
        <w:trPr>
          <w:trHeight w:val="411"/>
        </w:trPr>
        <w:tc>
          <w:tcPr>
            <w:tcW w:w="417" w:type="dxa"/>
            <w:tcBorders>
              <w:left w:val="single" w:sz="12" w:space="0" w:color="auto"/>
              <w:bottom w:val="nil"/>
              <w:right w:val="nil"/>
            </w:tcBorders>
          </w:tcPr>
          <w:p w14:paraId="4978FCE3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14:paraId="28C79619" w14:textId="071EF3BB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733D0D" w14:textId="4BFA0CA4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Telefonnummer</w:t>
            </w:r>
          </w:p>
          <w:p w14:paraId="7EF1476C" w14:textId="52C3BF27" w:rsidR="00DD0F4E" w:rsidRPr="00D2391E" w:rsidRDefault="00DD0F4E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832E2" w14:textId="77777777" w:rsidR="00DD0F4E" w:rsidRPr="00D2391E" w:rsidRDefault="00DD0F4E" w:rsidP="00DD0F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E-post</w:t>
            </w:r>
          </w:p>
          <w:p w14:paraId="2CF86767" w14:textId="37AFD92C" w:rsidR="007A7D21" w:rsidRPr="00D2391E" w:rsidRDefault="00DD0F4E" w:rsidP="00DD0F4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</w:tr>
      <w:tr w:rsidR="007A7D21" w:rsidRPr="00D2391E" w14:paraId="000634FC" w14:textId="77777777" w:rsidTr="00A74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13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</w:tcBorders>
          </w:tcPr>
          <w:p w14:paraId="2D605927" w14:textId="70732AAD" w:rsidR="007A7D21" w:rsidRPr="00D2391E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2.</w:t>
            </w:r>
          </w:p>
        </w:tc>
        <w:tc>
          <w:tcPr>
            <w:tcW w:w="1568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0B39897B" w14:textId="07871886" w:rsidR="007A7D21" w:rsidRPr="00D2391E" w:rsidRDefault="007A7D21" w:rsidP="007A7D21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Produkter för vilka importtillstånd söks</w:t>
            </w:r>
          </w:p>
        </w:tc>
        <w:tc>
          <w:tcPr>
            <w:tcW w:w="40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75B89E9" w14:textId="7B54949E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Produkternas klassificering och mängd:</w:t>
            </w:r>
          </w:p>
          <w:p w14:paraId="395BEBE1" w14:textId="4EEB63AC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(X)</w:t>
            </w:r>
            <w:bookmarkStart w:id="2" w:name="Teksti11"/>
          </w:p>
          <w:p w14:paraId="4072A390" w14:textId="77777777" w:rsidR="00BC7776" w:rsidRPr="003132AD" w:rsidRDefault="007A7D21" w:rsidP="007C6AE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bookmarkEnd w:id="2"/>
            <w:r w:rsidRPr="003132AD">
              <w:rPr>
                <w:rFonts w:ascii="Arial" w:hAnsi="Arial" w:cs="Arial"/>
                <w:lang w:val="en-US"/>
              </w:rPr>
              <w:t xml:space="preserve"> </w:t>
            </w:r>
            <w:r w:rsidRPr="003132AD">
              <w:rPr>
                <w:rFonts w:ascii="Arial" w:eastAsia="Arial" w:hAnsi="Arial" w:cs="Arial"/>
                <w:sz w:val="20"/>
                <w:szCs w:val="20"/>
                <w:lang w:val="en-US" w:bidi="sv-FI"/>
              </w:rPr>
              <w:t xml:space="preserve">F1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  <w:p w14:paraId="7C46D040" w14:textId="77777777" w:rsidR="00BC7776" w:rsidRPr="003132AD" w:rsidRDefault="007A7D21" w:rsidP="007C6AE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t xml:space="preserve"> </w:t>
            </w:r>
            <w:r w:rsidRPr="003132AD">
              <w:rPr>
                <w:rFonts w:ascii="Arial" w:eastAsia="Arial" w:hAnsi="Arial" w:cs="Arial"/>
                <w:sz w:val="20"/>
                <w:szCs w:val="20"/>
                <w:lang w:val="en-US" w:bidi="sv-FI"/>
              </w:rPr>
              <w:t xml:space="preserve">F2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  <w:p w14:paraId="1674F96C" w14:textId="6E3B8413" w:rsidR="007A7D21" w:rsidRPr="003132AD" w:rsidRDefault="007A7D21" w:rsidP="007C6AE2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t xml:space="preserve"> </w:t>
            </w:r>
            <w:r w:rsidRPr="003132AD">
              <w:rPr>
                <w:rFonts w:ascii="Arial" w:eastAsia="Arial" w:hAnsi="Arial" w:cs="Arial"/>
                <w:sz w:val="20"/>
                <w:szCs w:val="20"/>
                <w:lang w:val="en-US" w:bidi="sv-FI"/>
              </w:rPr>
              <w:t xml:space="preserve">F3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  <w:p w14:paraId="2091602E" w14:textId="6B28EBD0" w:rsidR="007A7D21" w:rsidRPr="003132AD" w:rsidRDefault="007A7D21" w:rsidP="007C6AE2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t xml:space="preserve"> </w:t>
            </w:r>
            <w:r w:rsidRPr="003132AD">
              <w:rPr>
                <w:rFonts w:ascii="Arial" w:eastAsia="Arial" w:hAnsi="Arial" w:cs="Arial"/>
                <w:sz w:val="20"/>
                <w:szCs w:val="20"/>
                <w:lang w:val="en-US" w:bidi="sv-FI"/>
              </w:rPr>
              <w:t xml:space="preserve">F4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  <w:p w14:paraId="095B0AE5" w14:textId="1142C583" w:rsidR="007A7D21" w:rsidRPr="003132AD" w:rsidRDefault="007A7D21" w:rsidP="00646AA5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t xml:space="preserve"> </w:t>
            </w:r>
            <w:r w:rsidRPr="003132AD">
              <w:rPr>
                <w:rFonts w:ascii="Arial" w:eastAsia="Arial" w:hAnsi="Arial" w:cs="Arial"/>
                <w:sz w:val="20"/>
                <w:szCs w:val="20"/>
                <w:lang w:val="en-US" w:bidi="sv-FI"/>
              </w:rPr>
              <w:t xml:space="preserve">P1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  <w:p w14:paraId="04BDABFE" w14:textId="193B09F8" w:rsidR="007A7D21" w:rsidRPr="003132AD" w:rsidRDefault="007A7D21" w:rsidP="00B55D89">
            <w:p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t xml:space="preserve"> </w:t>
            </w:r>
            <w:r w:rsidRPr="003132AD">
              <w:rPr>
                <w:rFonts w:ascii="Arial" w:eastAsia="Arial" w:hAnsi="Arial" w:cs="Arial"/>
                <w:sz w:val="20"/>
                <w:szCs w:val="20"/>
                <w:lang w:val="en-US" w:bidi="sv-FI"/>
              </w:rPr>
              <w:t xml:space="preserve">P2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="00F02248"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  <w:p w14:paraId="7B7BD69C" w14:textId="7E27170E" w:rsidR="007A7D21" w:rsidRPr="003132AD" w:rsidRDefault="007A7D21" w:rsidP="00B55D8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t xml:space="preserve"> </w:t>
            </w:r>
            <w:r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T1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  <w:p w14:paraId="71FC19E0" w14:textId="4B9B191F" w:rsidR="007A7D21" w:rsidRPr="003132AD" w:rsidRDefault="007A7D21" w:rsidP="00F022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3132AD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3132AD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en-US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t xml:space="preserve"> </w:t>
            </w:r>
            <w:r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T2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kg (NEC) eller 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02248" w:rsidRPr="003132AD">
              <w:rPr>
                <w:rFonts w:ascii="Arial" w:eastAsia="Times New Roman" w:hAnsi="Arial" w:cs="Arial"/>
                <w:sz w:val="24"/>
                <w:szCs w:val="24"/>
                <w:lang w:val="en-US" w:eastAsia="fi-FI" w:bidi="fi-FI"/>
              </w:rPr>
              <w:instrText xml:space="preserve"> FORMTEXT </w:instrTex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separate"/>
            </w:r>
            <w:r w:rsidR="00F02248" w:rsidRPr="003132AD">
              <w:rPr>
                <w:rFonts w:ascii="Arial" w:eastAsia="Times New Roman" w:hAnsi="Arial" w:cs="Arial"/>
                <w:noProof/>
                <w:sz w:val="24"/>
                <w:szCs w:val="24"/>
                <w:lang w:val="en-US" w:eastAsia="fi-FI" w:bidi="fi-FI"/>
              </w:rPr>
              <w:t>     </w:t>
            </w:r>
            <w:r w:rsidR="00F02248" w:rsidRPr="00D2391E">
              <w:rPr>
                <w:rFonts w:ascii="Arial" w:eastAsia="Times New Roman" w:hAnsi="Arial" w:cs="Arial"/>
                <w:sz w:val="24"/>
                <w:szCs w:val="24"/>
                <w:lang w:val="fi-FI" w:eastAsia="fi-FI" w:bidi="fi-FI"/>
              </w:rPr>
              <w:fldChar w:fldCharType="end"/>
            </w:r>
            <w:r w:rsidRPr="003132AD">
              <w:rPr>
                <w:rFonts w:ascii="Arial" w:eastAsia="Times New Roman" w:hAnsi="Arial" w:cs="Arial"/>
                <w:sz w:val="20"/>
                <w:szCs w:val="20"/>
                <w:lang w:val="en-US" w:bidi="sv-FI"/>
              </w:rPr>
              <w:t xml:space="preserve"> st.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1F13E" w14:textId="04A9A611" w:rsidR="007A7D21" w:rsidRPr="00D2391E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Produkternas farlighetsklass:</w:t>
            </w:r>
          </w:p>
          <w:p w14:paraId="0500A9E0" w14:textId="77777777" w:rsidR="007A7D21" w:rsidRPr="00D2391E" w:rsidRDefault="007A7D21" w:rsidP="00B55D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(X)</w:t>
            </w:r>
          </w:p>
          <w:p w14:paraId="0581B265" w14:textId="041CCD58" w:rsidR="007A7D21" w:rsidRPr="00D2391E" w:rsidRDefault="007A7D21" w:rsidP="00B55D89">
            <w:pPr>
              <w:spacing w:after="0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sv-FI" w:bidi="sv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end"/>
            </w:r>
            <w:r w:rsidRPr="00D2391E">
              <w:rPr>
                <w:rFonts w:ascii="Arial" w:eastAsia="Arial" w:hAnsi="Arial" w:cs="Arial"/>
                <w:lang w:val="sv-FI" w:bidi="sv-FI"/>
              </w:rPr>
              <w:t xml:space="preserve"> </w:t>
            </w:r>
            <w:proofErr w:type="gramStart"/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1.1</w:t>
            </w:r>
            <w:proofErr w:type="gramEnd"/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 xml:space="preserve"> G</w:t>
            </w:r>
            <w:r w:rsidRPr="00D2391E">
              <w:rPr>
                <w:rFonts w:ascii="Arial" w:eastAsia="Arial" w:hAnsi="Arial" w:cs="Arial"/>
                <w:lang w:val="sv-FI" w:bidi="sv-FI"/>
              </w:rPr>
              <w:br/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sv-FI" w:bidi="sv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end"/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t xml:space="preserve"> </w:t>
            </w:r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1.2 G</w:t>
            </w:r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br/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sv-FI" w:bidi="sv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end"/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t xml:space="preserve"> </w:t>
            </w:r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1.3 G</w:t>
            </w:r>
          </w:p>
          <w:p w14:paraId="5BA5931F" w14:textId="3CE54ACF" w:rsidR="007A7D21" w:rsidRPr="00D2391E" w:rsidRDefault="007A7D21" w:rsidP="00B55D89">
            <w:pPr>
              <w:spacing w:after="0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sv-FI" w:bidi="sv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end"/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t xml:space="preserve"> </w:t>
            </w:r>
            <w:proofErr w:type="gramStart"/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1.4</w:t>
            </w:r>
            <w:proofErr w:type="gramEnd"/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 xml:space="preserve"> G</w:t>
            </w:r>
          </w:p>
          <w:p w14:paraId="56D7D40C" w14:textId="4B6826CE" w:rsidR="007A7D21" w:rsidRPr="00D2391E" w:rsidRDefault="007A7D21" w:rsidP="007C6AE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sv-FI" w:bidi="sv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end"/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t xml:space="preserve"> </w:t>
            </w:r>
            <w:r w:rsidR="00C23186"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1.4 S</w:t>
            </w:r>
          </w:p>
          <w:p w14:paraId="4D3B8911" w14:textId="6EE0DC43" w:rsidR="007A7D21" w:rsidRPr="00D2391E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sv-FI" w:bidi="sv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sv-FI" w:bidi="sv-FI"/>
              </w:rPr>
              <w:fldChar w:fldCharType="end"/>
            </w: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 xml:space="preserve"> Annan, specificera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</w:tr>
      <w:tr w:rsidR="007A7D21" w:rsidRPr="00D2391E" w14:paraId="022B66F6" w14:textId="77777777" w:rsidTr="00A74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095"/>
        </w:trPr>
        <w:tc>
          <w:tcPr>
            <w:tcW w:w="417" w:type="dxa"/>
            <w:tcBorders>
              <w:left w:val="single" w:sz="12" w:space="0" w:color="auto"/>
            </w:tcBorders>
          </w:tcPr>
          <w:p w14:paraId="61006500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1568" w:type="dxa"/>
            <w:vMerge/>
            <w:tcBorders>
              <w:left w:val="nil"/>
              <w:right w:val="nil"/>
            </w:tcBorders>
          </w:tcPr>
          <w:p w14:paraId="747A9A60" w14:textId="6449098D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40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13F93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1AC1D" w14:textId="75A57D62" w:rsidR="007A7D21" w:rsidRPr="00D2391E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Produkternas tillverkare och tillverkningsland/-länder:</w:t>
            </w:r>
          </w:p>
          <w:p w14:paraId="5F70B70D" w14:textId="0FE4C501" w:rsidR="007A7D21" w:rsidRPr="00D2391E" w:rsidRDefault="007A7D21" w:rsidP="007C6AE2">
            <w:pPr>
              <w:spacing w:after="0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</w:tr>
      <w:tr w:rsidR="007A7D21" w:rsidRPr="00D2391E" w14:paraId="29C7B41E" w14:textId="77777777" w:rsidTr="00D239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640"/>
        </w:trPr>
        <w:tc>
          <w:tcPr>
            <w:tcW w:w="417" w:type="dxa"/>
            <w:tcBorders>
              <w:left w:val="single" w:sz="12" w:space="0" w:color="auto"/>
              <w:bottom w:val="single" w:sz="6" w:space="0" w:color="auto"/>
            </w:tcBorders>
          </w:tcPr>
          <w:p w14:paraId="27DC9589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0184B89D" w14:textId="672F97BA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</w:p>
        </w:tc>
        <w:tc>
          <w:tcPr>
            <w:tcW w:w="403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1C69AC" w14:textId="77777777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CE-märkning:</w:t>
            </w:r>
          </w:p>
          <w:p w14:paraId="08EE73EC" w14:textId="77777777" w:rsidR="007A7D21" w:rsidRPr="00D2391E" w:rsidRDefault="007A7D21" w:rsidP="00D53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(X)</w:t>
            </w:r>
          </w:p>
          <w:p w14:paraId="5DDBC767" w14:textId="77777777" w:rsidR="00BC7776" w:rsidRPr="00D2391E" w:rsidRDefault="007A7D21" w:rsidP="00D53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nb-NO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nb-NO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D2391E">
              <w:rPr>
                <w:rFonts w:ascii="Arial" w:hAnsi="Arial" w:cs="Arial"/>
              </w:rPr>
              <w:t xml:space="preserve"> </w:t>
            </w:r>
            <w:r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Produkterna är försedda med CE-märkning</w:t>
            </w:r>
          </w:p>
          <w:p w14:paraId="5BAB13EF" w14:textId="548DC56D" w:rsidR="007A7D21" w:rsidRPr="00D2391E" w:rsidRDefault="007A7D21" w:rsidP="00D53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nb-NO" w:eastAsia="fi-FI" w:bidi="fi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val="nb-NO" w:eastAsia="fi-FI" w:bidi="fi-FI"/>
              </w:rPr>
              <w:t xml:space="preserve">     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u w:val="single"/>
                <w:lang w:val="fi-FI" w:eastAsia="fi-FI" w:bidi="fi-FI"/>
              </w:rPr>
              <w:fldChar w:fldCharType="end"/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nb-NO" w:eastAsia="fi-FI" w:bidi="fi-FI"/>
              </w:rPr>
              <w:t xml:space="preserve"> </w:t>
            </w:r>
            <w:r w:rsidRPr="00D2391E">
              <w:rPr>
                <w:rFonts w:ascii="Arial" w:eastAsia="Arial" w:hAnsi="Arial" w:cs="Arial"/>
                <w:sz w:val="20"/>
                <w:szCs w:val="20"/>
                <w:lang w:val="sv-FI" w:bidi="sv-FI"/>
              </w:rPr>
              <w:t>Produkterna eller en del av dem är inte försedda med CE-märkning. (Ge en redogörelse om detta på fältet Tilläggsuppgifter eller med en separat bilaga.)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41F4C" w14:textId="77777777" w:rsidR="007A7D21" w:rsidRPr="00D2391E" w:rsidRDefault="007A7D21" w:rsidP="00D53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Produkternas användningsändamål:</w:t>
            </w:r>
          </w:p>
          <w:p w14:paraId="4D289ACE" w14:textId="181F85DE" w:rsidR="007A7D21" w:rsidRPr="00D2391E" w:rsidRDefault="0018082F" w:rsidP="00D53F70">
            <w:pPr>
              <w:spacing w:after="0"/>
              <w:rPr>
                <w:rFonts w:ascii="Arial" w:hAnsi="Arial" w:cs="Arial"/>
                <w:sz w:val="20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</w:tr>
      <w:tr w:rsidR="007A7D21" w:rsidRPr="00D2391E" w14:paraId="06747D58" w14:textId="77777777" w:rsidTr="00A74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996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14:paraId="390DCCAD" w14:textId="0C042BC0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3.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FF4A79" w14:textId="0D393546" w:rsidR="007A7D21" w:rsidRPr="00D2391E" w:rsidRDefault="007A7D21" w:rsidP="007A7D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Upplagring</w:t>
            </w:r>
          </w:p>
        </w:tc>
        <w:tc>
          <w:tcPr>
            <w:tcW w:w="77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773CBF" w14:textId="3B128EC8" w:rsidR="007A7D21" w:rsidRPr="00D2391E" w:rsidRDefault="007A7D21" w:rsidP="004D704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Redogörelse om produkternas upplagring:</w:t>
            </w:r>
          </w:p>
          <w:p w14:paraId="417D7EC1" w14:textId="6DAF4858" w:rsidR="007A7D21" w:rsidRPr="00D2391E" w:rsidRDefault="007A7D21" w:rsidP="004D70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</w:tr>
      <w:tr w:rsidR="007A7D21" w:rsidRPr="00D2391E" w14:paraId="5BFBBF23" w14:textId="77777777" w:rsidTr="00A747EF">
        <w:trPr>
          <w:trHeight w:val="573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82C55F4" w14:textId="1C461D15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4.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12EAC6" w14:textId="64C4748A" w:rsidR="007A7D21" w:rsidRPr="00D2391E" w:rsidRDefault="007A7D21" w:rsidP="007A7D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Giltighetstid</w:t>
            </w:r>
          </w:p>
        </w:tc>
        <w:tc>
          <w:tcPr>
            <w:tcW w:w="77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C5AFF3" w14:textId="4AF76B23" w:rsidR="007A7D21" w:rsidRPr="00D2391E" w:rsidRDefault="007A7D21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 xml:space="preserve">Importtillståndet är giltigt i </w:t>
            </w:r>
            <w:r w:rsidR="00C57980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>två</w:t>
            </w:r>
            <w:r w:rsidRPr="00D2391E">
              <w:rPr>
                <w:rFonts w:ascii="Arial" w:eastAsia="Times New Roman" w:hAnsi="Arial" w:cs="Arial"/>
                <w:sz w:val="20"/>
                <w:szCs w:val="20"/>
                <w:lang w:val="sv-FI" w:bidi="sv-FI"/>
              </w:rPr>
              <w:t xml:space="preserve"> år räknat från beviljandedatumet.</w:t>
            </w:r>
          </w:p>
        </w:tc>
      </w:tr>
      <w:tr w:rsidR="00841FE6" w:rsidRPr="00D2391E" w14:paraId="00B95DE5" w14:textId="77777777" w:rsidTr="00A747EF">
        <w:trPr>
          <w:trHeight w:val="964"/>
        </w:trPr>
        <w:tc>
          <w:tcPr>
            <w:tcW w:w="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ACDC061" w14:textId="77777777" w:rsidR="00841FE6" w:rsidRPr="00D2391E" w:rsidRDefault="00841FE6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25A26F9" w14:textId="5C2B22EC" w:rsidR="00841FE6" w:rsidRPr="00D2391E" w:rsidRDefault="00841FE6" w:rsidP="007A7D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4"/>
                <w:lang w:eastAsia="fi-FI"/>
              </w:rPr>
            </w:pP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Tilläggs</w:t>
            </w:r>
            <w:r w:rsid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-</w:t>
            </w:r>
            <w:r w:rsidRPr="00D2391E">
              <w:rPr>
                <w:rFonts w:ascii="Arial" w:eastAsia="Times New Roman" w:hAnsi="Arial" w:cs="Arial"/>
                <w:b/>
                <w:sz w:val="20"/>
                <w:szCs w:val="24"/>
                <w:lang w:val="sv-FI" w:bidi="sv-FI"/>
              </w:rPr>
              <w:t>uppgifter</w:t>
            </w:r>
          </w:p>
        </w:tc>
        <w:tc>
          <w:tcPr>
            <w:tcW w:w="77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60136" w14:textId="732DD8E4" w:rsidR="00841FE6" w:rsidRPr="00D2391E" w:rsidRDefault="0018082F" w:rsidP="000A7B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instrText xml:space="preserve"> FORMTEXT </w:instrTex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separate"/>
            </w:r>
            <w:r w:rsidRPr="00D2391E">
              <w:rPr>
                <w:rFonts w:ascii="Arial" w:eastAsia="Times New Roman" w:hAnsi="Arial" w:cs="Arial"/>
                <w:noProof/>
                <w:sz w:val="24"/>
                <w:szCs w:val="24"/>
                <w:lang w:val="sv-FI" w:bidi="sv-FI"/>
              </w:rPr>
              <w:t>     </w:t>
            </w:r>
            <w:r w:rsidRPr="00D2391E">
              <w:rPr>
                <w:rFonts w:ascii="Arial" w:eastAsia="Times New Roman" w:hAnsi="Arial" w:cs="Arial"/>
                <w:sz w:val="24"/>
                <w:szCs w:val="24"/>
                <w:lang w:val="sv-FI" w:bidi="sv-FI"/>
              </w:rPr>
              <w:fldChar w:fldCharType="end"/>
            </w:r>
          </w:p>
        </w:tc>
      </w:tr>
    </w:tbl>
    <w:p w14:paraId="787D9E4C" w14:textId="77777777" w:rsidR="004D7048" w:rsidRPr="00D2391E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62ECA1E" w14:textId="77777777" w:rsidR="004D7048" w:rsidRPr="00D2391E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bookmarkStart w:id="3" w:name="Teksti12"/>
    <w:p w14:paraId="4C0C81CB" w14:textId="703A3B7B" w:rsidR="004D7048" w:rsidRPr="00D2391E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instrText xml:space="preserve"> FORMTEXT </w:instrText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separate"/>
      </w:r>
      <w:r w:rsidRPr="00D2391E">
        <w:rPr>
          <w:rFonts w:ascii="Arial" w:eastAsia="Times New Roman" w:hAnsi="Arial" w:cs="Arial"/>
          <w:noProof/>
          <w:sz w:val="24"/>
          <w:szCs w:val="24"/>
          <w:lang w:val="sv-FI" w:bidi="sv-FI"/>
        </w:rPr>
        <w:t>     </w:t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end"/>
      </w:r>
      <w:bookmarkEnd w:id="3"/>
      <w:r w:rsidRPr="00D2391E">
        <w:rPr>
          <w:rFonts w:ascii="Arial" w:eastAsia="Times New Roman" w:hAnsi="Arial" w:cs="Arial"/>
          <w:sz w:val="20"/>
          <w:szCs w:val="20"/>
          <w:lang w:val="sv-FI" w:bidi="sv-FI"/>
        </w:rPr>
        <w:tab/>
      </w:r>
      <w:r w:rsidRPr="00D2391E">
        <w:rPr>
          <w:rFonts w:ascii="Arial" w:eastAsia="Times New Roman" w:hAnsi="Arial" w:cs="Arial"/>
          <w:sz w:val="20"/>
          <w:szCs w:val="20"/>
          <w:lang w:val="sv-FI" w:bidi="sv-FI"/>
        </w:rPr>
        <w:tab/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4" w:name="Teksti13"/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instrText xml:space="preserve"> FORMTEXT </w:instrText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separate"/>
      </w:r>
      <w:r w:rsidRPr="00D2391E">
        <w:rPr>
          <w:rFonts w:ascii="Arial" w:eastAsia="Times New Roman" w:hAnsi="Arial" w:cs="Arial"/>
          <w:noProof/>
          <w:sz w:val="24"/>
          <w:szCs w:val="24"/>
          <w:lang w:val="sv-FI" w:bidi="sv-FI"/>
        </w:rPr>
        <w:t>     </w:t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end"/>
      </w:r>
      <w:bookmarkEnd w:id="4"/>
      <w:r w:rsidRPr="00D2391E">
        <w:rPr>
          <w:rFonts w:ascii="Arial" w:eastAsia="Times New Roman" w:hAnsi="Arial" w:cs="Arial"/>
          <w:sz w:val="20"/>
          <w:szCs w:val="20"/>
          <w:lang w:val="sv-FI" w:bidi="sv-FI"/>
        </w:rPr>
        <w:tab/>
      </w:r>
      <w:r w:rsidRPr="00D2391E">
        <w:rPr>
          <w:rFonts w:ascii="Arial" w:eastAsia="Times New Roman" w:hAnsi="Arial" w:cs="Arial"/>
          <w:sz w:val="20"/>
          <w:szCs w:val="20"/>
          <w:lang w:val="sv-FI" w:bidi="sv-FI"/>
        </w:rPr>
        <w:tab/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5" w:name="Teksti14"/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instrText xml:space="preserve"> FORMTEXT </w:instrText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separate"/>
      </w:r>
      <w:r w:rsidRPr="00D2391E">
        <w:rPr>
          <w:rFonts w:ascii="Arial" w:eastAsia="Times New Roman" w:hAnsi="Arial" w:cs="Arial"/>
          <w:noProof/>
          <w:sz w:val="24"/>
          <w:szCs w:val="24"/>
          <w:lang w:val="sv-FI" w:bidi="sv-FI"/>
        </w:rPr>
        <w:t>     </w:t>
      </w:r>
      <w:r w:rsidRPr="00D2391E">
        <w:rPr>
          <w:rFonts w:ascii="Arial" w:eastAsia="Times New Roman" w:hAnsi="Arial" w:cs="Arial"/>
          <w:sz w:val="24"/>
          <w:szCs w:val="24"/>
          <w:lang w:val="sv-FI" w:bidi="sv-FI"/>
        </w:rPr>
        <w:fldChar w:fldCharType="end"/>
      </w:r>
      <w:bookmarkEnd w:id="5"/>
    </w:p>
    <w:p w14:paraId="16DC189F" w14:textId="0508CA8F" w:rsidR="004D7048" w:rsidRPr="00D2391E" w:rsidRDefault="004D7048" w:rsidP="004D70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</w:p>
    <w:p w14:paraId="12F45223" w14:textId="36791BB1" w:rsidR="00F97D95" w:rsidRPr="00D2391E" w:rsidRDefault="004D7048" w:rsidP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fi-FI"/>
        </w:rPr>
      </w:pPr>
      <w:r w:rsidRPr="00D2391E">
        <w:rPr>
          <w:rFonts w:ascii="Arial" w:eastAsia="Times New Roman" w:hAnsi="Arial" w:cs="Arial"/>
          <w:sz w:val="20"/>
          <w:szCs w:val="20"/>
          <w:lang w:val="sv-FI" w:bidi="sv-FI"/>
        </w:rPr>
        <w:t>Tid, ort och underskrift (samt namnförtydligande)</w:t>
      </w:r>
    </w:p>
    <w:p w14:paraId="29054CBB" w14:textId="77777777" w:rsidR="000F0FD0" w:rsidRPr="00D2391E" w:rsidRDefault="000F0FD0" w:rsidP="00153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fi-FI"/>
        </w:rPr>
      </w:pPr>
    </w:p>
    <w:p w14:paraId="427BEBEB" w14:textId="77777777" w:rsidR="003D21A9" w:rsidRPr="00D2391E" w:rsidRDefault="003D21A9" w:rsidP="003D21A9">
      <w:pPr>
        <w:pStyle w:val="Otsikko2"/>
        <w:rPr>
          <w:rFonts w:eastAsia="Times New Roman"/>
          <w:b/>
          <w:bCs/>
          <w:lang w:eastAsia="fi-FI"/>
        </w:rPr>
      </w:pPr>
    </w:p>
    <w:p w14:paraId="3DE50CD7" w14:textId="4B59009B" w:rsidR="00153378" w:rsidRPr="00D2391E" w:rsidRDefault="00153378" w:rsidP="003D21A9">
      <w:pPr>
        <w:pStyle w:val="Otsikko2"/>
        <w:spacing w:after="240"/>
        <w:rPr>
          <w:rFonts w:eastAsia="Times New Roman"/>
          <w:lang w:eastAsia="fi-FI"/>
        </w:rPr>
      </w:pPr>
      <w:r w:rsidRPr="00D2391E">
        <w:rPr>
          <w:rFonts w:eastAsia="Times New Roman"/>
          <w:b/>
          <w:lang w:val="sv-FI" w:bidi="sv-FI"/>
        </w:rPr>
        <w:t>Ifyllnadsanvisningar för blanketten</w:t>
      </w:r>
    </w:p>
    <w:p w14:paraId="51A9A9E8" w14:textId="5CA53FDA" w:rsidR="00EE477B" w:rsidRPr="00D2391E" w:rsidRDefault="00EE477B" w:rsidP="003D21A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Arial"/>
          <w:lang w:eastAsia="fi-FI"/>
        </w:rPr>
      </w:pPr>
      <w:r w:rsidRPr="00D2391E">
        <w:rPr>
          <w:rFonts w:eastAsia="Times New Roman" w:cs="Arial"/>
          <w:lang w:val="sv-FI" w:bidi="sv-FI"/>
        </w:rPr>
        <w:t xml:space="preserve">Ett importtillstånd från Säkerhets- och kemikalieverket Tukes ska sökas för explosiva varor som importeras från områden utanför </w:t>
      </w:r>
      <w:proofErr w:type="gramStart"/>
      <w:r w:rsidRPr="00D2391E">
        <w:rPr>
          <w:rFonts w:eastAsia="Times New Roman" w:cs="Arial"/>
          <w:lang w:val="sv-FI" w:bidi="sv-FI"/>
        </w:rPr>
        <w:t>Europeiska</w:t>
      </w:r>
      <w:proofErr w:type="gramEnd"/>
      <w:r w:rsidRPr="00D2391E">
        <w:rPr>
          <w:rFonts w:eastAsia="Times New Roman" w:cs="Arial"/>
          <w:lang w:val="sv-FI" w:bidi="sv-FI"/>
        </w:rPr>
        <w:t xml:space="preserve"> ekonomiska samarbetsområdet.</w:t>
      </w:r>
    </w:p>
    <w:p w14:paraId="172A5E4A" w14:textId="02152D26" w:rsidR="00153378" w:rsidRPr="00D2391E" w:rsidRDefault="00EE477B" w:rsidP="0018082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Arial"/>
          <w:lang w:eastAsia="fi-FI"/>
        </w:rPr>
      </w:pPr>
      <w:r w:rsidRPr="00D2391E">
        <w:rPr>
          <w:rFonts w:eastAsia="Times New Roman" w:cs="Arial"/>
          <w:lang w:val="sv-FI" w:bidi="sv-FI"/>
        </w:rPr>
        <w:t xml:space="preserve">Undantag: </w:t>
      </w:r>
      <w:r w:rsidRPr="00D2391E">
        <w:rPr>
          <w:lang w:val="sv-FI" w:bidi="sv-FI"/>
        </w:rPr>
        <w:t>För import av explosiva varor behövs dock inte tillstånd, när den explosiva varan ingår som fast installerad säkerhets</w:t>
      </w:r>
      <w:r w:rsidR="003132AD">
        <w:rPr>
          <w:lang w:val="sv-FI" w:bidi="sv-FI"/>
        </w:rPr>
        <w:t>a</w:t>
      </w:r>
      <w:r w:rsidRPr="00D2391E">
        <w:rPr>
          <w:lang w:val="sv-FI" w:bidi="sv-FI"/>
        </w:rPr>
        <w:t>nordning eller till utrustningen hörande räddningsredskap i ett flygplan, ett fartyg, en båt, en bil eller något annat fordon.</w:t>
      </w:r>
    </w:p>
    <w:p w14:paraId="589A5FEA" w14:textId="1F4FF2C5" w:rsidR="00595247" w:rsidRPr="00D2391E" w:rsidRDefault="00595247" w:rsidP="001808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bCs/>
          <w:lang w:eastAsia="fi-FI"/>
        </w:rPr>
      </w:pPr>
      <w:r w:rsidRPr="00D2391E">
        <w:rPr>
          <w:rFonts w:eastAsia="Times New Roman" w:cs="Arial"/>
          <w:b/>
          <w:lang w:val="sv-FI" w:bidi="sv-FI"/>
        </w:rPr>
        <w:t>Uppgifter om företaget</w:t>
      </w:r>
    </w:p>
    <w:p w14:paraId="350EF6F3" w14:textId="5921455C" w:rsidR="00153378" w:rsidRPr="00D2391E" w:rsidRDefault="00595247" w:rsidP="0018082F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Arial"/>
          <w:lang w:eastAsia="fi-FI"/>
        </w:rPr>
      </w:pPr>
      <w:r w:rsidRPr="00D2391E">
        <w:rPr>
          <w:rFonts w:eastAsia="Times New Roman" w:cs="Arial"/>
          <w:lang w:val="sv-FI" w:bidi="sv-FI"/>
        </w:rPr>
        <w:t>Vid import av explosiva varor är kontaktpersonen den person som ansvarar för importen av explosiva varor.</w:t>
      </w:r>
    </w:p>
    <w:p w14:paraId="53E7DA82" w14:textId="63E57764" w:rsidR="00EE477B" w:rsidRPr="00D2391E" w:rsidRDefault="00EE477B" w:rsidP="001808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bCs/>
          <w:lang w:eastAsia="fi-FI"/>
        </w:rPr>
      </w:pPr>
      <w:r w:rsidRPr="00D2391E">
        <w:rPr>
          <w:rFonts w:eastAsia="Times New Roman" w:cs="Arial"/>
          <w:b/>
          <w:lang w:val="sv-FI" w:bidi="sv-FI"/>
        </w:rPr>
        <w:t>Produkter för vilka importtillstånd söks</w:t>
      </w:r>
    </w:p>
    <w:p w14:paraId="7B0D4179" w14:textId="6B4B2F41" w:rsidR="00EE477B" w:rsidRPr="00D2391E" w:rsidRDefault="00EE477B" w:rsidP="0018082F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Arial"/>
          <w:lang w:eastAsia="fi-FI"/>
        </w:rPr>
      </w:pPr>
      <w:r w:rsidRPr="00D2391E">
        <w:rPr>
          <w:rFonts w:eastAsia="Times New Roman" w:cs="Arial"/>
          <w:lang w:val="sv-FI" w:bidi="sv-FI"/>
        </w:rPr>
        <w:t>Sökanden ska i sin ansökan ange uppgifterna om de explosiva varor som man ämnar importera samt deras användningsändamål. I ansökan ska man ange den explosiva varans namn, farlighetsklass, mängd och tillverkare. Uppgifterna kan vid behov kompletteras på fältet Tilläggsuppgifter eller med bilagor.</w:t>
      </w:r>
    </w:p>
    <w:p w14:paraId="1A249B27" w14:textId="4DD471F8" w:rsidR="00153378" w:rsidRPr="00D2391E" w:rsidRDefault="00EE477B" w:rsidP="0018082F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Arial"/>
          <w:lang w:eastAsia="fi-FI"/>
        </w:rPr>
      </w:pPr>
      <w:r w:rsidRPr="00D2391E">
        <w:rPr>
          <w:rFonts w:eastAsia="Times New Roman" w:cs="Arial"/>
          <w:lang w:val="sv-FI" w:bidi="sv-FI"/>
        </w:rPr>
        <w:t xml:space="preserve">CE-märkning: Importören ska bevisa att de explosiva varor som importeras </w:t>
      </w:r>
      <w:r w:rsidRPr="00D2391E">
        <w:rPr>
          <w:lang w:val="sv-FI" w:bidi="sv-FI"/>
        </w:rPr>
        <w:t xml:space="preserve">överensstämmer med kraven. Pyrotekniska produkter ska vara försedda med CE-märkning. Undantaget utgörs av produkter som är avsedda för användning </w:t>
      </w:r>
      <w:proofErr w:type="gramStart"/>
      <w:r w:rsidRPr="00D2391E">
        <w:rPr>
          <w:lang w:val="sv-FI" w:bidi="sv-FI"/>
        </w:rPr>
        <w:t>t.ex.</w:t>
      </w:r>
      <w:proofErr w:type="gramEnd"/>
      <w:r w:rsidRPr="00D2391E">
        <w:rPr>
          <w:lang w:val="sv-FI" w:bidi="sv-FI"/>
        </w:rPr>
        <w:t xml:space="preserve"> vid testning eller forskning. Om produkterna inte är försedda med CE-märkning ska detta utredas i ansökan. Tukes kan be om produkternas EU-försäkran om överensstämmelse vid ansökans handläggning.</w:t>
      </w:r>
    </w:p>
    <w:p w14:paraId="611B430D" w14:textId="4485289A" w:rsidR="0060001F" w:rsidRPr="00D2391E" w:rsidRDefault="0060001F" w:rsidP="001808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bCs/>
          <w:lang w:eastAsia="fi-FI"/>
        </w:rPr>
      </w:pPr>
      <w:r w:rsidRPr="00D2391E">
        <w:rPr>
          <w:rFonts w:eastAsia="Times New Roman" w:cs="Arial"/>
          <w:b/>
          <w:lang w:val="sv-FI" w:bidi="sv-FI"/>
        </w:rPr>
        <w:t>Upplagring</w:t>
      </w:r>
    </w:p>
    <w:p w14:paraId="0960D69A" w14:textId="41B39816" w:rsidR="00153378" w:rsidRPr="00D2391E" w:rsidRDefault="0060001F" w:rsidP="0018082F">
      <w:pPr>
        <w:overflowPunct w:val="0"/>
        <w:autoSpaceDE w:val="0"/>
        <w:autoSpaceDN w:val="0"/>
        <w:adjustRightInd w:val="0"/>
        <w:spacing w:line="240" w:lineRule="auto"/>
        <w:ind w:left="283"/>
        <w:textAlignment w:val="baseline"/>
        <w:rPr>
          <w:rFonts w:eastAsia="Times New Roman" w:cs="Arial"/>
          <w:lang w:eastAsia="fi-FI"/>
        </w:rPr>
      </w:pPr>
      <w:r w:rsidRPr="00D2391E">
        <w:rPr>
          <w:rFonts w:eastAsia="Times New Roman" w:cs="Arial"/>
          <w:lang w:val="sv-FI" w:bidi="sv-FI"/>
        </w:rPr>
        <w:t xml:space="preserve">I tillståndsansökan ska man lämna en redogörelse om upplagringen av de explosiva varorna. </w:t>
      </w:r>
      <w:r w:rsidRPr="00D2391E">
        <w:rPr>
          <w:lang w:val="sv-FI" w:bidi="sv-FI"/>
        </w:rPr>
        <w:t>Förutsättningen för tillståndet är att importören kan bevisa att de explosiva varorna kommer att lagras enligt bestämmelserna.</w:t>
      </w:r>
    </w:p>
    <w:p w14:paraId="0BD41BBE" w14:textId="6338FB1F" w:rsidR="00475D93" w:rsidRPr="00D2391E" w:rsidRDefault="0060001F" w:rsidP="00475D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Calibri"/>
          <w:lang w:eastAsia="fi-FI"/>
        </w:rPr>
      </w:pPr>
      <w:r w:rsidRPr="00D2391E">
        <w:rPr>
          <w:rFonts w:eastAsia="Times New Roman" w:cs="Arial"/>
          <w:b/>
          <w:lang w:val="sv-FI" w:bidi="sv-FI"/>
        </w:rPr>
        <w:t>Giltighetstid</w:t>
      </w:r>
    </w:p>
    <w:p w14:paraId="4B8CB354" w14:textId="40F1325D" w:rsidR="00153378" w:rsidRPr="00D2391E" w:rsidRDefault="00F764C0" w:rsidP="00475D93">
      <w:pPr>
        <w:overflowPunct w:val="0"/>
        <w:autoSpaceDE w:val="0"/>
        <w:autoSpaceDN w:val="0"/>
        <w:adjustRightInd w:val="0"/>
        <w:spacing w:line="240" w:lineRule="auto"/>
        <w:ind w:left="283"/>
        <w:jc w:val="both"/>
        <w:textAlignment w:val="baseline"/>
        <w:rPr>
          <w:rFonts w:eastAsia="Times New Roman" w:cs="Calibri"/>
          <w:lang w:eastAsia="fi-FI"/>
        </w:rPr>
      </w:pPr>
      <w:r w:rsidRPr="00D2391E">
        <w:rPr>
          <w:rFonts w:eastAsia="Times New Roman" w:cs="Calibri"/>
          <w:lang w:val="sv-FI" w:bidi="sv-FI"/>
        </w:rPr>
        <w:t xml:space="preserve">Importtillståndet är giltigt i </w:t>
      </w:r>
      <w:r w:rsidR="00C57980">
        <w:rPr>
          <w:rFonts w:eastAsia="Times New Roman" w:cs="Calibri"/>
          <w:lang w:val="sv-FI" w:bidi="sv-FI"/>
        </w:rPr>
        <w:t>två</w:t>
      </w:r>
      <w:r w:rsidRPr="00D2391E">
        <w:rPr>
          <w:rFonts w:eastAsia="Times New Roman" w:cs="Calibri"/>
          <w:lang w:val="sv-FI" w:bidi="sv-FI"/>
        </w:rPr>
        <w:t xml:space="preserve"> år räknat från beviljandedatumet</w:t>
      </w:r>
      <w:r w:rsidRPr="00D2391E">
        <w:rPr>
          <w:rStyle w:val="Kommentinviite"/>
          <w:rFonts w:cs="Calibri"/>
          <w:sz w:val="22"/>
          <w:szCs w:val="22"/>
          <w:lang w:val="sv-FI" w:bidi="sv-FI"/>
        </w:rPr>
        <w:t>.</w:t>
      </w:r>
    </w:p>
    <w:p w14:paraId="6FC87DDF" w14:textId="77777777" w:rsidR="00153378" w:rsidRDefault="00153378"/>
    <w:sectPr w:rsidR="00153378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2BD1D" w14:textId="77777777" w:rsidR="002768BA" w:rsidRDefault="002768BA" w:rsidP="00287E6F">
      <w:pPr>
        <w:spacing w:after="0" w:line="240" w:lineRule="auto"/>
      </w:pPr>
      <w:r>
        <w:separator/>
      </w:r>
    </w:p>
  </w:endnote>
  <w:endnote w:type="continuationSeparator" w:id="0">
    <w:p w14:paraId="6969FD98" w14:textId="77777777" w:rsidR="002768BA" w:rsidRDefault="002768BA" w:rsidP="0028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9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2552"/>
      <w:gridCol w:w="1985"/>
      <w:gridCol w:w="1701"/>
      <w:gridCol w:w="1866"/>
      <w:gridCol w:w="1876"/>
    </w:tblGrid>
    <w:tr w:rsidR="00B20CBF" w:rsidRPr="00B20CBF" w14:paraId="2B26ACA7" w14:textId="77777777" w:rsidTr="0071214D">
      <w:tc>
        <w:tcPr>
          <w:tcW w:w="2552" w:type="dxa"/>
          <w:vMerge w:val="restart"/>
        </w:tcPr>
        <w:p w14:paraId="395B23DC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  <w:szCs w:val="18"/>
              <w:lang w:val="sv-FI" w:bidi="sv-FI"/>
            </w:rPr>
            <w:t>Säkerhets- och</w:t>
          </w:r>
          <w:r w:rsidRPr="00B20CBF">
            <w:rPr>
              <w:rFonts w:cs="Calibri"/>
              <w:b/>
              <w:color w:val="00B487"/>
              <w:sz w:val="18"/>
              <w:szCs w:val="18"/>
              <w:lang w:val="sv-FI" w:bidi="sv-FI"/>
            </w:rPr>
            <w:br/>
            <w:t>kemikalieverket</w:t>
          </w:r>
        </w:p>
      </w:tc>
      <w:tc>
        <w:tcPr>
          <w:tcW w:w="1985" w:type="dxa"/>
        </w:tcPr>
        <w:p w14:paraId="787B9246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  <w:szCs w:val="18"/>
              <w:lang w:val="sv-FI" w:bidi="sv-FI"/>
            </w:rPr>
            <w:t>Helsingfors</w:t>
          </w:r>
        </w:p>
      </w:tc>
      <w:tc>
        <w:tcPr>
          <w:tcW w:w="1701" w:type="dxa"/>
        </w:tcPr>
        <w:p w14:paraId="37A78217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  <w:szCs w:val="18"/>
              <w:lang w:val="sv-FI" w:bidi="sv-FI"/>
            </w:rPr>
            <w:t>Tammerfors</w:t>
          </w:r>
        </w:p>
      </w:tc>
      <w:tc>
        <w:tcPr>
          <w:tcW w:w="1866" w:type="dxa"/>
        </w:tcPr>
        <w:p w14:paraId="30366D2B" w14:textId="77777777" w:rsidR="00B20CBF" w:rsidRPr="00B20CBF" w:rsidRDefault="00B20CBF" w:rsidP="00B20CBF">
          <w:pPr>
            <w:spacing w:after="0" w:line="240" w:lineRule="auto"/>
            <w:rPr>
              <w:rFonts w:cs="Calibri"/>
              <w:b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  <w:szCs w:val="18"/>
              <w:lang w:val="sv-FI" w:bidi="sv-FI"/>
            </w:rPr>
            <w:t>Rovaniemi</w:t>
          </w:r>
        </w:p>
      </w:tc>
      <w:tc>
        <w:tcPr>
          <w:tcW w:w="1876" w:type="dxa"/>
        </w:tcPr>
        <w:p w14:paraId="3306E908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b/>
              <w:color w:val="00B487"/>
              <w:sz w:val="18"/>
              <w:szCs w:val="18"/>
              <w:lang w:val="sv-FI" w:bidi="sv-FI"/>
            </w:rPr>
            <w:t>Växel</w:t>
          </w: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 xml:space="preserve"> 029 5052 000</w:t>
          </w:r>
        </w:p>
      </w:tc>
    </w:tr>
    <w:tr w:rsidR="00B20CBF" w:rsidRPr="00B20CBF" w14:paraId="2DC06944" w14:textId="77777777" w:rsidTr="0071214D">
      <w:tc>
        <w:tcPr>
          <w:tcW w:w="2552" w:type="dxa"/>
          <w:vMerge/>
        </w:tcPr>
        <w:p w14:paraId="05BA46DB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  <w:tc>
        <w:tcPr>
          <w:tcW w:w="1985" w:type="dxa"/>
        </w:tcPr>
        <w:p w14:paraId="563CFE46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PL 66 (Semaforbron 12 B)</w:t>
          </w:r>
        </w:p>
      </w:tc>
      <w:tc>
        <w:tcPr>
          <w:tcW w:w="1701" w:type="dxa"/>
        </w:tcPr>
        <w:p w14:paraId="7CF39E8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proofErr w:type="spellStart"/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Yliopistonkatu</w:t>
          </w:r>
          <w:proofErr w:type="spellEnd"/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 xml:space="preserve"> 38</w:t>
          </w:r>
        </w:p>
      </w:tc>
      <w:tc>
        <w:tcPr>
          <w:tcW w:w="1866" w:type="dxa"/>
        </w:tcPr>
        <w:p w14:paraId="29160F8B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proofErr w:type="spellStart"/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Valtakatu</w:t>
          </w:r>
          <w:proofErr w:type="spellEnd"/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 xml:space="preserve"> 2</w:t>
          </w:r>
        </w:p>
      </w:tc>
      <w:tc>
        <w:tcPr>
          <w:tcW w:w="1876" w:type="dxa"/>
          <w:vMerge w:val="restart"/>
        </w:tcPr>
        <w:p w14:paraId="4E5F0144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www.tukes.fi</w:t>
          </w: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br/>
          </w:r>
          <w:hyperlink r:id="rId1" w:history="1">
            <w:r w:rsidRPr="00B20CBF">
              <w:rPr>
                <w:rFonts w:cs="Calibri"/>
                <w:color w:val="00B487"/>
                <w:sz w:val="18"/>
                <w:szCs w:val="18"/>
                <w:lang w:val="sv-FI" w:bidi="sv-FI"/>
              </w:rPr>
              <w:t>kirjaamo@tukes.fi</w:t>
            </w:r>
          </w:hyperlink>
        </w:p>
      </w:tc>
    </w:tr>
    <w:tr w:rsidR="00B20CBF" w:rsidRPr="00B20CBF" w14:paraId="15D25860" w14:textId="77777777" w:rsidTr="0071214D">
      <w:tc>
        <w:tcPr>
          <w:tcW w:w="2552" w:type="dxa"/>
          <w:vMerge/>
        </w:tcPr>
        <w:p w14:paraId="49932E31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  <w:tc>
        <w:tcPr>
          <w:tcW w:w="1985" w:type="dxa"/>
        </w:tcPr>
        <w:p w14:paraId="2E5FFB7F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00521 Helsingfors</w:t>
          </w:r>
        </w:p>
      </w:tc>
      <w:tc>
        <w:tcPr>
          <w:tcW w:w="1701" w:type="dxa"/>
        </w:tcPr>
        <w:p w14:paraId="33400DFB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33100 Tammerfors</w:t>
          </w:r>
        </w:p>
      </w:tc>
      <w:tc>
        <w:tcPr>
          <w:tcW w:w="1866" w:type="dxa"/>
        </w:tcPr>
        <w:p w14:paraId="3B651DA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96100 Rovaniemi</w:t>
          </w:r>
        </w:p>
      </w:tc>
      <w:tc>
        <w:tcPr>
          <w:tcW w:w="1876" w:type="dxa"/>
          <w:vMerge/>
        </w:tcPr>
        <w:p w14:paraId="312FE78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</w:tr>
    <w:tr w:rsidR="00B20CBF" w:rsidRPr="00B20CBF" w14:paraId="0983CA7C" w14:textId="77777777" w:rsidTr="0071214D">
      <w:tc>
        <w:tcPr>
          <w:tcW w:w="8104" w:type="dxa"/>
          <w:gridSpan w:val="4"/>
        </w:tcPr>
        <w:p w14:paraId="41951A0A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</w:p>
      </w:tc>
      <w:tc>
        <w:tcPr>
          <w:tcW w:w="1876" w:type="dxa"/>
        </w:tcPr>
        <w:p w14:paraId="1014D032" w14:textId="77777777" w:rsidR="00B20CBF" w:rsidRPr="00B20CBF" w:rsidRDefault="00B20CBF" w:rsidP="00B20CBF">
          <w:pPr>
            <w:spacing w:after="0" w:line="240" w:lineRule="auto"/>
            <w:rPr>
              <w:rFonts w:cs="Calibri"/>
              <w:color w:val="00B487"/>
              <w:sz w:val="18"/>
            </w:rPr>
          </w:pPr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 xml:space="preserve">FO-nummer </w:t>
          </w:r>
          <w:proofErr w:type="gramStart"/>
          <w:r w:rsidRPr="00B20CBF">
            <w:rPr>
              <w:rFonts w:cs="Calibri"/>
              <w:color w:val="00B487"/>
              <w:sz w:val="18"/>
              <w:szCs w:val="18"/>
              <w:lang w:val="sv-FI" w:bidi="sv-FI"/>
            </w:rPr>
            <w:t>1021277-9</w:t>
          </w:r>
          <w:proofErr w:type="gramEnd"/>
        </w:p>
      </w:tc>
    </w:tr>
  </w:tbl>
  <w:p w14:paraId="40325EFD" w14:textId="6EBB9F7C" w:rsidR="00287E6F" w:rsidRDefault="00287E6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529C2" w14:textId="77777777" w:rsidR="002768BA" w:rsidRDefault="002768BA" w:rsidP="00287E6F">
      <w:pPr>
        <w:spacing w:after="0" w:line="240" w:lineRule="auto"/>
      </w:pPr>
      <w:r>
        <w:separator/>
      </w:r>
    </w:p>
  </w:footnote>
  <w:footnote w:type="continuationSeparator" w:id="0">
    <w:p w14:paraId="48B58D34" w14:textId="77777777" w:rsidR="002768BA" w:rsidRDefault="002768BA" w:rsidP="0028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FBE2F" w14:textId="4000497F" w:rsidR="00287E6F" w:rsidRDefault="00F84E50">
    <w:pPr>
      <w:pStyle w:val="Yltunniste"/>
    </w:pPr>
    <w:r>
      <w:rPr>
        <w:noProof/>
        <w:sz w:val="2"/>
        <w:szCs w:val="2"/>
        <w:lang w:val="sv-FI" w:bidi="sv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054B1" wp14:editId="71F23FFF">
              <wp:simplePos x="0" y="0"/>
              <wp:positionH relativeFrom="column">
                <wp:posOffset>4147185</wp:posOffset>
              </wp:positionH>
              <wp:positionV relativeFrom="paragraph">
                <wp:posOffset>-135255</wp:posOffset>
              </wp:positionV>
              <wp:extent cx="2581275" cy="466725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19B0C5" w14:textId="4ABF471E" w:rsidR="00F84E50" w:rsidRPr="007A7D21" w:rsidRDefault="00F84E50">
                          <w:pPr>
                            <w:rPr>
                              <w:rFonts w:ascii="Arial" w:hAnsi="Arial" w:cs="Arial"/>
                            </w:rPr>
                          </w:pPr>
                          <w:r w:rsidRPr="007A7D21">
                            <w:rPr>
                              <w:rFonts w:ascii="Arial" w:eastAsia="Arial" w:hAnsi="Arial" w:cs="Arial"/>
                              <w:lang w:val="sv-FI" w:bidi="sv-FI"/>
                            </w:rPr>
                            <w:t>Ansökan om importtillstånd för explosiva varor, pyrotekniska produkter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054B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7" type="#_x0000_t202" style="position:absolute;margin-left:326.55pt;margin-top:-10.65pt;width:203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" filled="f" stroked="f" strokeweight=".5pt">
              <v:textbox>
                <w:txbxContent>
                  <w:p w14:paraId="0819B0C5" w14:textId="4ABF471E" w:rsidR="00F84E50" w:rsidRPr="007A7D21" w:rsidRDefault="00F84E50">
                    <w:pPr>
                      <w:rPr>
                        <w:rFonts w:ascii="Arial" w:hAnsi="Arial" w:cs="Arial"/>
                      </w:rPr>
                    </w:pPr>
                    <w:r w:rsidRPr="007A7D21">
                      <w:rPr>
                        <w:rFonts w:ascii="Arial" w:eastAsia="Arial" w:hAnsi="Arial" w:cs="Arial"/>
                        <w:lang w:val="sv-FI" w:bidi="sv-FI"/>
                      </w:rPr>
                      <w:t>Ansökan om importtillstånd för explosiva varor, pyrotekniska produkter</w:t>
                    </w:r>
                  </w:p>
                </w:txbxContent>
              </v:textbox>
            </v:shape>
          </w:pict>
        </mc:Fallback>
      </mc:AlternateContent>
    </w:r>
    <w:r w:rsidR="00287E6F" w:rsidRPr="005B2575">
      <w:rPr>
        <w:noProof/>
        <w:sz w:val="2"/>
        <w:szCs w:val="2"/>
        <w:lang w:val="sv-FI" w:bidi="sv-FI"/>
      </w:rPr>
      <w:drawing>
        <wp:anchor distT="0" distB="0" distL="114300" distR="114300" simplePos="0" relativeHeight="251659264" behindDoc="0" locked="0" layoutInCell="1" allowOverlap="1" wp14:anchorId="44BC41F9" wp14:editId="053BC786">
          <wp:simplePos x="0" y="0"/>
          <wp:positionH relativeFrom="page">
            <wp:posOffset>720090</wp:posOffset>
          </wp:positionH>
          <wp:positionV relativeFrom="page">
            <wp:posOffset>172720</wp:posOffset>
          </wp:positionV>
          <wp:extent cx="1463040" cy="703580"/>
          <wp:effectExtent l="0" t="0" r="0" b="0"/>
          <wp:wrapNone/>
          <wp:docPr id="76" name="Logo" descr="asiakirja_tukes_fi_rg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B7AEC"/>
    <w:multiLevelType w:val="hybridMultilevel"/>
    <w:tmpl w:val="B3C62E98"/>
    <w:lvl w:ilvl="0" w:tplc="9D02EA14">
      <w:numFmt w:val="bullet"/>
      <w:lvlText w:val="&gt;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681A"/>
    <w:multiLevelType w:val="singleLevel"/>
    <w:tmpl w:val="9BB88B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 w:val="0"/>
        <w:i w:val="0"/>
        <w:sz w:val="24"/>
      </w:rPr>
    </w:lvl>
  </w:abstractNum>
  <w:abstractNum w:abstractNumId="2" w15:restartNumberingAfterBreak="0">
    <w:nsid w:val="262056E9"/>
    <w:multiLevelType w:val="hybridMultilevel"/>
    <w:tmpl w:val="78D02CF0"/>
    <w:lvl w:ilvl="0" w:tplc="DCA085E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70F"/>
    <w:multiLevelType w:val="hybridMultilevel"/>
    <w:tmpl w:val="B5201870"/>
    <w:lvl w:ilvl="0" w:tplc="62C806A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FC0"/>
    <w:multiLevelType w:val="hybridMultilevel"/>
    <w:tmpl w:val="A61E65FA"/>
    <w:lvl w:ilvl="0" w:tplc="14A07B82">
      <w:numFmt w:val="bullet"/>
      <w:lvlText w:val="&gt;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2HGaF4jKalHK1/GY+hkKrahGRGRis0iViWNfN/TGOqbjLwBZdmfb9E+wkIiOJpLvglev+Tv902f1HiDRguutg==" w:salt="sek27CRsFx10y3yIQUq0F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48"/>
    <w:rsid w:val="000238C4"/>
    <w:rsid w:val="000452D3"/>
    <w:rsid w:val="00053AF0"/>
    <w:rsid w:val="0008782E"/>
    <w:rsid w:val="00094422"/>
    <w:rsid w:val="000A50CA"/>
    <w:rsid w:val="000A638E"/>
    <w:rsid w:val="000B0044"/>
    <w:rsid w:val="000F0FD0"/>
    <w:rsid w:val="000F4133"/>
    <w:rsid w:val="0012206F"/>
    <w:rsid w:val="00122E52"/>
    <w:rsid w:val="00124FCB"/>
    <w:rsid w:val="00153378"/>
    <w:rsid w:val="00165532"/>
    <w:rsid w:val="0018082F"/>
    <w:rsid w:val="00183ADB"/>
    <w:rsid w:val="001A278E"/>
    <w:rsid w:val="001C43EC"/>
    <w:rsid w:val="002469B5"/>
    <w:rsid w:val="0025686D"/>
    <w:rsid w:val="002602F2"/>
    <w:rsid w:val="002768BA"/>
    <w:rsid w:val="00287930"/>
    <w:rsid w:val="00287E6F"/>
    <w:rsid w:val="002B4DD5"/>
    <w:rsid w:val="002F5E7D"/>
    <w:rsid w:val="002F6002"/>
    <w:rsid w:val="00302E5D"/>
    <w:rsid w:val="003132AD"/>
    <w:rsid w:val="003634D3"/>
    <w:rsid w:val="0038729E"/>
    <w:rsid w:val="003A35DA"/>
    <w:rsid w:val="003B5028"/>
    <w:rsid w:val="003C136A"/>
    <w:rsid w:val="003D21A9"/>
    <w:rsid w:val="003D648D"/>
    <w:rsid w:val="00402AB1"/>
    <w:rsid w:val="00475D93"/>
    <w:rsid w:val="004D7048"/>
    <w:rsid w:val="004E051B"/>
    <w:rsid w:val="004E2460"/>
    <w:rsid w:val="004E3D19"/>
    <w:rsid w:val="005139FA"/>
    <w:rsid w:val="00534A6D"/>
    <w:rsid w:val="00566710"/>
    <w:rsid w:val="00571E17"/>
    <w:rsid w:val="00595247"/>
    <w:rsid w:val="005A5099"/>
    <w:rsid w:val="005B2258"/>
    <w:rsid w:val="005B47ED"/>
    <w:rsid w:val="005D2ABA"/>
    <w:rsid w:val="0060001F"/>
    <w:rsid w:val="00601C6F"/>
    <w:rsid w:val="0060256C"/>
    <w:rsid w:val="0061102F"/>
    <w:rsid w:val="00613FBD"/>
    <w:rsid w:val="00642A7B"/>
    <w:rsid w:val="00645AD3"/>
    <w:rsid w:val="00646AA5"/>
    <w:rsid w:val="006C6076"/>
    <w:rsid w:val="006F6CF0"/>
    <w:rsid w:val="00762A7C"/>
    <w:rsid w:val="00772525"/>
    <w:rsid w:val="00774F43"/>
    <w:rsid w:val="00777252"/>
    <w:rsid w:val="007775C6"/>
    <w:rsid w:val="007A7D21"/>
    <w:rsid w:val="007C6AE2"/>
    <w:rsid w:val="00816C24"/>
    <w:rsid w:val="00823B01"/>
    <w:rsid w:val="00841FE6"/>
    <w:rsid w:val="008C7DF7"/>
    <w:rsid w:val="009244F7"/>
    <w:rsid w:val="00940EDB"/>
    <w:rsid w:val="009474BF"/>
    <w:rsid w:val="00963115"/>
    <w:rsid w:val="009865E9"/>
    <w:rsid w:val="009A4EA3"/>
    <w:rsid w:val="009C1136"/>
    <w:rsid w:val="00A42A63"/>
    <w:rsid w:val="00A569A5"/>
    <w:rsid w:val="00A747EF"/>
    <w:rsid w:val="00A81BED"/>
    <w:rsid w:val="00AB4F68"/>
    <w:rsid w:val="00AB7F27"/>
    <w:rsid w:val="00B00A9B"/>
    <w:rsid w:val="00B20CBF"/>
    <w:rsid w:val="00B43075"/>
    <w:rsid w:val="00B55D89"/>
    <w:rsid w:val="00BA7872"/>
    <w:rsid w:val="00BC7776"/>
    <w:rsid w:val="00BD29AB"/>
    <w:rsid w:val="00BF4640"/>
    <w:rsid w:val="00BF67C4"/>
    <w:rsid w:val="00C02FE8"/>
    <w:rsid w:val="00C23186"/>
    <w:rsid w:val="00C2644E"/>
    <w:rsid w:val="00C57980"/>
    <w:rsid w:val="00C707B5"/>
    <w:rsid w:val="00CA1A42"/>
    <w:rsid w:val="00CB437E"/>
    <w:rsid w:val="00D1436C"/>
    <w:rsid w:val="00D2391E"/>
    <w:rsid w:val="00D53F70"/>
    <w:rsid w:val="00D81C99"/>
    <w:rsid w:val="00D92886"/>
    <w:rsid w:val="00DB25AB"/>
    <w:rsid w:val="00DD0F4E"/>
    <w:rsid w:val="00DF474C"/>
    <w:rsid w:val="00E06E22"/>
    <w:rsid w:val="00EB03DC"/>
    <w:rsid w:val="00EE477B"/>
    <w:rsid w:val="00F02248"/>
    <w:rsid w:val="00F11FA7"/>
    <w:rsid w:val="00F1238C"/>
    <w:rsid w:val="00F764C0"/>
    <w:rsid w:val="00F84E50"/>
    <w:rsid w:val="00F97D95"/>
    <w:rsid w:val="00FA22DB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41DDA"/>
  <w15:chartTrackingRefBased/>
  <w15:docId w15:val="{36D3781E-373E-4C06-A6D5-B6FE3F0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7048"/>
    <w:pPr>
      <w:spacing w:after="200" w:line="276" w:lineRule="auto"/>
    </w:pPr>
    <w:rPr>
      <w:rFonts w:ascii="Calibri" w:eastAsia="Calibri" w:hAnsi="Calibri" w:cs="Times New Roma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7E6F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8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7E6F"/>
    <w:rPr>
      <w:rFonts w:ascii="Calibri" w:eastAsia="Calibri" w:hAnsi="Calibri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5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52D3"/>
    <w:rPr>
      <w:rFonts w:ascii="Segoe UI" w:eastAsia="Calibr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2469B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469B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469B5"/>
    <w:rPr>
      <w:rFonts w:ascii="Calibri" w:eastAsia="Calibri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469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469B5"/>
    <w:rPr>
      <w:rFonts w:ascii="Calibri" w:eastAsia="Calibri" w:hAnsi="Calibri" w:cs="Times New Roman"/>
      <w:b/>
      <w:bCs/>
      <w:sz w:val="20"/>
      <w:szCs w:val="20"/>
    </w:rPr>
  </w:style>
  <w:style w:type="paragraph" w:styleId="Muutos">
    <w:name w:val="Revision"/>
    <w:hidden/>
    <w:uiPriority w:val="99"/>
    <w:semiHidden/>
    <w:rsid w:val="005A5099"/>
    <w:pPr>
      <w:spacing w:after="0" w:line="240" w:lineRule="auto"/>
    </w:pPr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61102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1102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1102F"/>
    <w:rPr>
      <w:color w:val="605E5C"/>
      <w:shd w:val="clear" w:color="auto" w:fill="E1DFDD"/>
    </w:rPr>
  </w:style>
  <w:style w:type="table" w:styleId="TaulukkoRuudukko">
    <w:name w:val="Table Grid"/>
    <w:basedOn w:val="Normaalitaulukko"/>
    <w:rsid w:val="00B20CB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tukes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tuke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8E7B-2D5C-44CC-A91F-7621163D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Ojala Mikko</dc:creator>
  <cp:keywords>class='Internal'</cp:keywords>
  <dc:description/>
  <cp:lastModifiedBy>Sjelvgren Jonas (Tukes)</cp:lastModifiedBy>
  <cp:revision>5</cp:revision>
  <dcterms:created xsi:type="dcterms:W3CDTF">2021-10-12T06:17:00Z</dcterms:created>
  <dcterms:modified xsi:type="dcterms:W3CDTF">2021-10-12T06:28:00Z</dcterms:modified>
</cp:coreProperties>
</file>